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«СТАФ-24»</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Точеновой Т. 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«СТАФ-24»</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127106 г. Москва, ул Гостиничная, дом 3 этаж 3 офис 323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9715340675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771501001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40702810209500013753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1197746158730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127106 г. Москва, ул Гостиничная, дом 3 этаж 3 офис 323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moskva.workers24.ru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msk24@workers24.ru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(499) 110-88-26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Точенова Т.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 выгрузке , перемещению ТМЦ Заказчика , весом  до 50кг, выше 5 этажа с использованием лифта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производству монтажа демонтажа офисной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перемещению ТМЦ Заказчика, весом более 50 кг. , но менее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415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перемещению ТМЦ Заказчика, весом более 100кг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535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 уборке помещений и территорий, оказания других услуг, в рамках задач АХО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395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 Газель 3 метра грузоподъемность до 1500кг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 Газель 4 метра грузоподъемность до 1500кг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 Бычок 4 метра грузоподъемность до 1500кг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  Портер  грузоподъемность до 1000 кг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Точенова Т.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Точенова Т.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Точенова Т.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Точенова Т.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